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217B" w14:textId="77777777" w:rsidR="003057D5" w:rsidRDefault="003057D5" w:rsidP="003057D5">
      <w:pPr>
        <w:pStyle w:val="NormaleWeb"/>
        <w:shd w:val="clear" w:color="auto" w:fill="FFFFFF"/>
        <w:spacing w:before="0" w:beforeAutospacing="0" w:after="150" w:afterAutospacing="0" w:line="450" w:lineRule="atLeast"/>
        <w:jc w:val="both"/>
        <w:rPr>
          <w:rFonts w:ascii="Work Sans" w:hAnsi="Work Sans"/>
          <w:color w:val="443F3F"/>
        </w:rPr>
      </w:pPr>
    </w:p>
    <w:p w14:paraId="7415A9DC" w14:textId="77777777" w:rsidR="003057D5" w:rsidRPr="003057D5" w:rsidRDefault="003057D5" w:rsidP="003057D5">
      <w:pPr>
        <w:shd w:val="clear" w:color="auto" w:fill="FFFFFF"/>
        <w:spacing w:after="300" w:line="240" w:lineRule="auto"/>
        <w:outlineLvl w:val="0"/>
        <w:rPr>
          <w:rFonts w:ascii="Poppins" w:eastAsia="Times New Roman" w:hAnsi="Poppins" w:cs="Poppins"/>
          <w:b/>
          <w:bCs/>
          <w:color w:val="443F3F"/>
          <w:spacing w:val="-7"/>
          <w:kern w:val="36"/>
          <w:sz w:val="28"/>
          <w:szCs w:val="28"/>
          <w:lang w:eastAsia="it-IT"/>
          <w14:ligatures w14:val="none"/>
        </w:rPr>
      </w:pPr>
      <w:r w:rsidRPr="003057D5">
        <w:rPr>
          <w:rFonts w:ascii="Poppins" w:eastAsia="Times New Roman" w:hAnsi="Poppins" w:cs="Poppins"/>
          <w:b/>
          <w:bCs/>
          <w:color w:val="443F3F"/>
          <w:spacing w:val="-7"/>
          <w:kern w:val="36"/>
          <w:sz w:val="28"/>
          <w:szCs w:val="28"/>
          <w:lang w:eastAsia="it-IT"/>
          <w14:ligatures w14:val="none"/>
        </w:rPr>
        <w:t>Documenti di programmazione strategico-gestionale</w:t>
      </w:r>
    </w:p>
    <w:p w14:paraId="4D3670C1" w14:textId="471D2F66" w:rsidR="003057D5" w:rsidRDefault="003057D5" w:rsidP="003057D5">
      <w:pPr>
        <w:pStyle w:val="NormaleWeb"/>
        <w:shd w:val="clear" w:color="auto" w:fill="FFFFFF"/>
        <w:spacing w:before="0" w:beforeAutospacing="0" w:after="150" w:afterAutospacing="0" w:line="450" w:lineRule="atLeast"/>
        <w:jc w:val="both"/>
        <w:rPr>
          <w:rFonts w:ascii="Work Sans" w:hAnsi="Work Sans"/>
          <w:color w:val="443F3F"/>
        </w:rPr>
      </w:pPr>
      <w:r>
        <w:rPr>
          <w:rFonts w:ascii="Work Sans" w:hAnsi="Work Sans"/>
          <w:color w:val="443F3F"/>
        </w:rPr>
        <w:t>Il Consiglio di Amministrazione della Fondazione G. Rossini, in osservanza della determinazione n. 12 del 2015 dell’ANAC, nella quale si raccomanda un maggior coinvolgimento de</w:t>
      </w:r>
      <w:r w:rsidR="0040539E">
        <w:rPr>
          <w:rFonts w:ascii="Work Sans" w:hAnsi="Work Sans"/>
          <w:color w:val="443F3F"/>
        </w:rPr>
        <w:t>gli organi</w:t>
      </w:r>
      <w:r>
        <w:rPr>
          <w:rFonts w:ascii="Work Sans" w:hAnsi="Work Sans"/>
          <w:color w:val="443F3F"/>
        </w:rPr>
        <w:t xml:space="preserve"> di </w:t>
      </w:r>
      <w:r w:rsidR="00CD384F">
        <w:rPr>
          <w:rFonts w:ascii="Work Sans" w:hAnsi="Work Sans"/>
          <w:color w:val="443F3F"/>
        </w:rPr>
        <w:t xml:space="preserve">amministrazione </w:t>
      </w:r>
      <w:r>
        <w:rPr>
          <w:rFonts w:ascii="Work Sans" w:hAnsi="Work Sans"/>
          <w:color w:val="443F3F"/>
        </w:rPr>
        <w:t>al fine di una piena consapevolezza e condivisione degli obiettivi della lotta alla corruzione e delle misure organizzative necessarie, approva annualmente il PTPCT, riconoscendo l’importanza strategica degli obiettivi collegati alla prevenzione della corruzione ed alla trasparenza, quali:</w:t>
      </w:r>
    </w:p>
    <w:p w14:paraId="3C906FE2" w14:textId="77777777" w:rsidR="003057D5" w:rsidRDefault="003057D5" w:rsidP="003057D5">
      <w:pPr>
        <w:pStyle w:val="NormaleWeb"/>
        <w:shd w:val="clear" w:color="auto" w:fill="FFFFFF"/>
        <w:spacing w:before="0" w:beforeAutospacing="0" w:after="150" w:afterAutospacing="0" w:line="450" w:lineRule="atLeast"/>
        <w:rPr>
          <w:rFonts w:ascii="Work Sans" w:hAnsi="Work Sans"/>
          <w:color w:val="443F3F"/>
        </w:rPr>
      </w:pPr>
      <w:r>
        <w:rPr>
          <w:rFonts w:ascii="Work Sans" w:hAnsi="Work Sans"/>
          <w:color w:val="443F3F"/>
        </w:rPr>
        <w:t>– ridurre le opportunità che si manifestino casi di corruzione;</w:t>
      </w:r>
    </w:p>
    <w:p w14:paraId="0C210DCB" w14:textId="77777777" w:rsidR="003057D5" w:rsidRDefault="003057D5" w:rsidP="003057D5">
      <w:pPr>
        <w:pStyle w:val="NormaleWeb"/>
        <w:shd w:val="clear" w:color="auto" w:fill="FFFFFF"/>
        <w:spacing w:before="0" w:beforeAutospacing="0" w:after="150" w:afterAutospacing="0" w:line="450" w:lineRule="atLeast"/>
        <w:rPr>
          <w:rFonts w:ascii="Work Sans" w:hAnsi="Work Sans"/>
          <w:color w:val="443F3F"/>
        </w:rPr>
      </w:pPr>
      <w:r>
        <w:rPr>
          <w:rFonts w:ascii="Work Sans" w:hAnsi="Work Sans"/>
          <w:color w:val="443F3F"/>
        </w:rPr>
        <w:t>– aumentare la capacità di scoprire casi di corruzione;</w:t>
      </w:r>
    </w:p>
    <w:p w14:paraId="6B1ACC4E" w14:textId="2C4F6FC5" w:rsidR="003057D5" w:rsidRDefault="003057D5" w:rsidP="003057D5">
      <w:pPr>
        <w:pStyle w:val="NormaleWeb"/>
        <w:shd w:val="clear" w:color="auto" w:fill="FFFFFF"/>
        <w:spacing w:before="0" w:beforeAutospacing="0" w:after="300" w:afterAutospacing="0" w:line="450" w:lineRule="atLeast"/>
        <w:rPr>
          <w:rFonts w:ascii="Work Sans" w:hAnsi="Work Sans"/>
          <w:color w:val="443F3F"/>
        </w:rPr>
      </w:pPr>
      <w:r>
        <w:rPr>
          <w:rFonts w:ascii="Work Sans" w:hAnsi="Work Sans"/>
          <w:color w:val="443F3F"/>
        </w:rPr>
        <w:t>– creare un contesto sfavorevole alla corruzione.</w:t>
      </w:r>
    </w:p>
    <w:p w14:paraId="5502887E" w14:textId="77777777" w:rsidR="00E126F0" w:rsidRDefault="00E126F0"/>
    <w:sectPr w:rsidR="00E12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D5"/>
    <w:rsid w:val="00295907"/>
    <w:rsid w:val="003057D5"/>
    <w:rsid w:val="0040539E"/>
    <w:rsid w:val="007A0763"/>
    <w:rsid w:val="009F115A"/>
    <w:rsid w:val="00B54D5E"/>
    <w:rsid w:val="00CD384F"/>
    <w:rsid w:val="00E1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B7B2"/>
  <w15:chartTrackingRefBased/>
  <w15:docId w15:val="{EC8549E9-8CF9-4177-BDE9-0F4F0B32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57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57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57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57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57D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57D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57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57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57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57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57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57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57D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7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7D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57D5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0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Belli</dc:creator>
  <cp:keywords/>
  <dc:description/>
  <cp:lastModifiedBy>Lorenzo Belli</cp:lastModifiedBy>
  <cp:revision>3</cp:revision>
  <dcterms:created xsi:type="dcterms:W3CDTF">2026-06-05T09:39:00Z</dcterms:created>
  <dcterms:modified xsi:type="dcterms:W3CDTF">2026-06-05T09:42:00Z</dcterms:modified>
</cp:coreProperties>
</file>